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о неминовном падању спонтаних покрета у буржоаску идеологију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2025-12-29</w:t>
      </w:r>
    </w:p>
    <w:p>
      <w:pPr/>
    </w:p>
    <w:p/>
    <w:p>
      <w:r>
        <w:t>Али зашто... спонтани покрет, покрет који иде линијом најмањег отпора, води баш господарству буржоаске идеологије?</w:t>
      </w:r>
    </w:p>
    <w:p>
      <w:r>
        <w:t>Из простог разлога што је буржоаска идеологија по свом постанку кудикамо старија од социјалистичке, што је свестраније разрађена, што располаже неупоредиво већим средствима за ширење.</w:t>
      </w:r>
    </w:p>
    <w:p>
      <w:r>
        <w:t>В. И. Лењин„Шта да се ради?“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neminovnom-padanju-spontanih-pokreta-u-burzoasku-ideolog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