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Lenjin o poziciji nižih klasa naspram postojećeg poretka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2026-02-27</w:t>
      </w:r>
    </w:p>
    <w:p>
      <w:pPr/>
      <w:r>
        <w:t>1 мин. читања</w:t>
      </w:r>
    </w:p>
    <w:p/>
    <w:p>
      <w:r>
        <w:t>Pokret nižih klasa pokreće revolucionarnu silu; on podiže mase ljudi, koje su, pod jedan, sposobne da sruše celokupnu satrulu strukturu, i pod dva, koje nisu povezane sa tom strukturom kroz bilo kakve posebne karakteristike sopstvene pozicije i koje bi je rado urušile. Štaviše, čak iako oni nisu u potpunosti svesni svojih ciljeva, ove mase su ništa manje sposobne i sklone tome da sruše strukturu, jer je njihova pozicija očajna, jer ih konstantna represija tera da pođu revolucionarni putem, i oni nemaju ništa da izgube sem svojih lanaca.</w:t>
      </w:r>
    </w:p>
    <w:p>
      <w:r>
        <w:rPr>
          <w:b/>
        </w:rPr>
        <w:t>V. I. Lenjin</w:t>
      </w:r>
      <w:r>
        <w:rPr>
          <w:b/>
        </w:rPr>
        <w:br/>
      </w:r>
      <w:r>
        <w:rPr>
          <w:b/>
        </w:rPr>
        <w:t>Politički sofizam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lenjin-o-poziciji-nizih-klasa-naspram-postojeceg-pore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