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о ситничарству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2026-01-01</w:t>
      </w:r>
    </w:p>
    <w:p>
      <w:pPr/>
    </w:p>
    <w:p/>
    <w:p>
      <w:r>
        <w:t>Оба ова правца, и опортунисти и „револуционисти“ полажу оружје пред владајућим ситничарством;</w:t>
      </w:r>
    </w:p>
    <w:p>
      <w:r>
        <w:t>Не верују у могућност ослобођења од њега не схватају наш први и најпречи практични задатак стварања организације револуционара која може да обезбеди енергију, постојаност, и континуитет политичке борбе.</w:t>
      </w:r>
    </w:p>
    <w:p>
      <w:r>
        <w:t>В. И. ЛењинШта да се ради?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sitnihar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